
<file path=[Content_Types].xml><?xml version="1.0" encoding="utf-8"?>
<Types xmlns="http://schemas.openxmlformats.org/package/2006/content-types">
  <Default Extension="xml" ContentType="application/xml"/>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drawing>
          <wp:inline distT="0" distB="0" distL="114300" distR="114300">
            <wp:extent cx="5877560" cy="7837805"/>
            <wp:effectExtent l="0" t="0" r="8890" b="10795"/>
            <wp:docPr id="26" name="图片 26" descr="微信图片_2020101415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01014155846"/>
                    <pic:cNvPicPr>
                      <a:picLocks noChangeAspect="1"/>
                    </pic:cNvPicPr>
                  </pic:nvPicPr>
                  <pic:blipFill>
                    <a:blip r:embed="rId24"/>
                    <a:stretch>
                      <a:fillRect/>
                    </a:stretch>
                  </pic:blipFill>
                  <pic:spPr>
                    <a:xfrm>
                      <a:off x="0" y="0"/>
                      <a:ext cx="5877560" cy="7837805"/>
                    </a:xfrm>
                    <a:prstGeom prst="rect">
                      <a:avLst/>
                    </a:prstGeom>
                  </pic:spPr>
                </pic:pic>
              </a:graphicData>
            </a:graphic>
          </wp:inline>
        </w:drawing>
      </w:r>
      <w:r>
        <w:rPr>
          <w:rFonts w:hint="eastAsia" w:ascii="黑体" w:hAnsi="Times New Roman" w:eastAsia="黑体" w:cs="Times New Roman"/>
          <w:sz w:val="48"/>
          <w:szCs w:val="48"/>
          <w:lang w:eastAsia="zh-CN"/>
        </w:rPr>
        <w:drawing>
          <wp:inline distT="0" distB="0" distL="114300" distR="114300">
            <wp:extent cx="5606415" cy="7475220"/>
            <wp:effectExtent l="0" t="0" r="13335" b="11430"/>
            <wp:docPr id="27" name="图片 27" descr="微信图片_20201014155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010141558461"/>
                    <pic:cNvPicPr>
                      <a:picLocks noChangeAspect="1"/>
                    </pic:cNvPicPr>
                  </pic:nvPicPr>
                  <pic:blipFill>
                    <a:blip r:embed="rId25"/>
                    <a:stretch>
                      <a:fillRect/>
                    </a:stretch>
                  </pic:blipFill>
                  <pic:spPr>
                    <a:xfrm>
                      <a:off x="0" y="0"/>
                      <a:ext cx="5606415" cy="7475220"/>
                    </a:xfrm>
                    <a:prstGeom prst="rect">
                      <a:avLst/>
                    </a:prstGeom>
                  </pic:spPr>
                </pic:pic>
              </a:graphicData>
            </a:graphic>
          </wp:inline>
        </w:drawing>
      </w: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中国共产党涉县纪律检查委员会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bookmarkStart w:id="0" w:name="_GoBack"/>
      <w:bookmarkEnd w:id="0"/>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rPr>
          <w:sz w:val="72"/>
        </w:rPr>
      </w:pPr>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6"/>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p>
    <w:p>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(一)负责全县党的纪律</w:t>
      </w:r>
      <w:r>
        <w:rPr>
          <w:rFonts w:hint="eastAsia" w:ascii="仿宋" w:hAnsi="仿宋" w:eastAsia="仿宋" w:cs="仿宋"/>
          <w:sz w:val="30"/>
          <w:szCs w:val="30"/>
          <w:lang w:eastAsia="zh-CN"/>
        </w:rPr>
        <w:t>检</w:t>
      </w:r>
      <w:r>
        <w:rPr>
          <w:rFonts w:hint="eastAsia" w:ascii="仿宋" w:hAnsi="仿宋" w:eastAsia="仿宋" w:cs="仿宋"/>
          <w:sz w:val="30"/>
          <w:szCs w:val="30"/>
        </w:rPr>
        <w:t>查工作。贯彻落实党中央和省委市委、县委关于纪律检査工作的决策部署，维护党的章程和其他党内法规，检査党的路线方针政策和决议的执行情况，协助县委推进全面从严治党、加强党风建设和组织协调反腐败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依照党的章程和其他党内法规履行监督、执纪、问责职责。负责经常对党员进行遵守纪律的教育，作出关于维护党纪的决定;对县委工作机关、县委批准设立的党委(党组、总支、支部)各乡镇(街道)党委(党工委入、纪委(纪工委)等党的组织和县委管理的党员领导</w:t>
      </w:r>
      <w:r>
        <w:rPr>
          <w:rFonts w:hint="eastAsia" w:ascii="仿宋" w:hAnsi="仿宋" w:eastAsia="仿宋" w:cs="仿宋"/>
          <w:sz w:val="30"/>
          <w:szCs w:val="30"/>
          <w:lang w:eastAsia="zh-CN"/>
        </w:rPr>
        <w:t>干</w:t>
      </w:r>
      <w:r>
        <w:rPr>
          <w:rFonts w:hint="eastAsia" w:ascii="仿宋" w:hAnsi="仿宋" w:eastAsia="仿宋" w:cs="仿宋"/>
          <w:sz w:val="30"/>
          <w:szCs w:val="30"/>
        </w:rPr>
        <w:t>部履行职责、行使权力进行监督，受理处置党员群众检举举报，开展谈话提醒、约谈</w:t>
      </w:r>
      <w:r>
        <w:rPr>
          <w:rFonts w:hint="eastAsia" w:ascii="仿宋" w:hAnsi="仿宋" w:eastAsia="仿宋" w:cs="仿宋"/>
          <w:sz w:val="30"/>
          <w:szCs w:val="30"/>
          <w:lang w:eastAsia="zh-CN"/>
        </w:rPr>
        <w:t>话</w:t>
      </w:r>
      <w:r>
        <w:rPr>
          <w:rFonts w:hint="eastAsia" w:ascii="仿宋" w:hAnsi="仿宋" w:eastAsia="仿宋" w:cs="仿宋"/>
          <w:sz w:val="30"/>
          <w:szCs w:val="30"/>
        </w:rPr>
        <w:t>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(三)支持配合巡视巡察工作。承担巡视巡察整改日常监督责任，做好巡视巡察整改督查督办工作，依规依纪依法处置巡视巡察移交的反映领导干部问题线索。</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(四)负责全县监察工作。贯彻落实党中央和省委、市委、县委关于监察工作的决策部署，维护宪法法律，依法对县委管理的行使公权</w:t>
      </w:r>
      <w:r>
        <w:rPr>
          <w:rFonts w:hint="eastAsia" w:ascii="仿宋" w:hAnsi="仿宋" w:eastAsia="仿宋" w:cs="仿宋"/>
          <w:sz w:val="30"/>
          <w:szCs w:val="30"/>
          <w:lang w:eastAsia="zh-CN"/>
        </w:rPr>
        <w:t>力</w:t>
      </w:r>
      <w:r>
        <w:rPr>
          <w:rFonts w:hint="eastAsia" w:ascii="仿宋" w:hAnsi="仿宋" w:eastAsia="仿宋" w:cs="仿宋"/>
          <w:sz w:val="30"/>
          <w:szCs w:val="30"/>
        </w:rPr>
        <w:t>的公职人员进行监察，调查职务违法和职务犯罪，开展廉政建设和反腐败工作。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依照法律规定履行监督、调查、处置职责。推动开展廉政教育，对县委管理的行使公权力的公职人员依法履职、秉公用权、廉洁从政从业以及道德操守情况进行监督检查;对涉嫌贪污贿赂、滥用职权、玩忽职守、权力寻祖、利益输送、徇私舞弊以及浪费国家资财等职务违法和职务犯罪进行调查;对违法的公职人员依法作出政务处分决定;对履行职责不</w:t>
      </w:r>
      <w:r>
        <w:rPr>
          <w:rFonts w:hint="eastAsia" w:ascii="仿宋" w:hAnsi="仿宋" w:eastAsia="仿宋" w:cs="仿宋"/>
          <w:sz w:val="30"/>
          <w:szCs w:val="30"/>
          <w:lang w:eastAsia="zh-CN"/>
        </w:rPr>
        <w:t>力</w:t>
      </w:r>
      <w:r>
        <w:rPr>
          <w:rFonts w:hint="eastAsia" w:ascii="仿宋" w:hAnsi="仿宋" w:eastAsia="仿宋" w:cs="仿宋"/>
          <w:sz w:val="30"/>
          <w:szCs w:val="30"/>
        </w:rPr>
        <w:t>、失职失责的领导人员进行问责;对涉嫌职务犯罪的，将调查结果移送人民检察院依法审查、提起公诉;向监察对象所在单位提出监察建议。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(六)负责组织协调全面从严治党、党风</w:t>
      </w:r>
      <w:r>
        <w:rPr>
          <w:rFonts w:hint="eastAsia" w:ascii="仿宋" w:hAnsi="仿宋" w:eastAsia="仿宋" w:cs="仿宋"/>
          <w:sz w:val="30"/>
          <w:szCs w:val="30"/>
          <w:lang w:eastAsia="zh-CN"/>
        </w:rPr>
        <w:t>廉</w:t>
      </w:r>
      <w:r>
        <w:rPr>
          <w:rFonts w:hint="eastAsia" w:ascii="仿宋" w:hAnsi="仿宋" w:eastAsia="仿宋" w:cs="仿宋"/>
          <w:sz w:val="30"/>
          <w:szCs w:val="30"/>
        </w:rPr>
        <w:t>政建设和反腐败宣传教育工作。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(七)负责综合分析全面从严治党、党风廉</w:t>
      </w:r>
      <w:r>
        <w:rPr>
          <w:rFonts w:hint="eastAsia" w:ascii="仿宋" w:hAnsi="仿宋" w:eastAsia="仿宋" w:cs="仿宋"/>
          <w:sz w:val="30"/>
          <w:szCs w:val="30"/>
          <w:lang w:eastAsia="zh-CN"/>
        </w:rPr>
        <w:t>政</w:t>
      </w:r>
      <w:r>
        <w:rPr>
          <w:rFonts w:hint="eastAsia" w:ascii="仿宋" w:hAnsi="仿宋" w:eastAsia="仿宋" w:cs="仿宋"/>
          <w:sz w:val="30"/>
          <w:szCs w:val="30"/>
        </w:rPr>
        <w:t>建设和反腐败工作情况，对纪检监察工作重要理论及实践问题进行调查研究;制定或者修改全县纪检监察规章制度，参与起草有关规范性文件。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(八)负责组织协调全县反腐败追逃追赃和防逃工作，督促有关单位做好相关工作。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(九)根据干部管理权限，负责全县纪检监察系统领导班子建设、</w:t>
      </w:r>
      <w:r>
        <w:rPr>
          <w:rFonts w:hint="eastAsia" w:ascii="仿宋" w:hAnsi="仿宋" w:eastAsia="仿宋" w:cs="仿宋"/>
          <w:sz w:val="30"/>
          <w:szCs w:val="30"/>
          <w:lang w:eastAsia="zh-CN"/>
        </w:rPr>
        <w:t>干</w:t>
      </w:r>
      <w:r>
        <w:rPr>
          <w:rFonts w:hint="eastAsia" w:ascii="仿宋" w:hAnsi="仿宋" w:eastAsia="仿宋" w:cs="仿宋"/>
          <w:sz w:val="30"/>
          <w:szCs w:val="30"/>
        </w:rPr>
        <w:t>部队伍建设和组织建设的综合规划、政策研究、制度建设和业务指导;会同县委组织部负责县委巡察机构的科级干部提名考察，报县委任免;根据干部管理权限负责县委巡察机</w:t>
      </w:r>
      <w:r>
        <w:rPr>
          <w:rFonts w:hint="eastAsia" w:ascii="仿宋" w:hAnsi="仿宋" w:eastAsia="仿宋" w:cs="仿宋"/>
          <w:sz w:val="30"/>
          <w:szCs w:val="30"/>
          <w:lang w:eastAsia="zh-CN"/>
        </w:rPr>
        <w:t>构</w:t>
      </w:r>
      <w:r>
        <w:rPr>
          <w:rFonts w:hint="eastAsia" w:ascii="仿宋" w:hAnsi="仿宋" w:eastAsia="仿宋" w:cs="仿宋"/>
          <w:sz w:val="30"/>
          <w:szCs w:val="30"/>
        </w:rPr>
        <w:t>股级及以下</w:t>
      </w:r>
      <w:r>
        <w:rPr>
          <w:rFonts w:hint="eastAsia" w:ascii="仿宋" w:hAnsi="仿宋" w:eastAsia="仿宋" w:cs="仿宋"/>
          <w:sz w:val="30"/>
          <w:szCs w:val="30"/>
          <w:lang w:eastAsia="zh-CN"/>
        </w:rPr>
        <w:t>干</w:t>
      </w:r>
      <w:r>
        <w:rPr>
          <w:rFonts w:hint="eastAsia" w:ascii="仿宋" w:hAnsi="仿宋" w:eastAsia="仿宋" w:cs="仿宋"/>
          <w:sz w:val="30"/>
          <w:szCs w:val="30"/>
        </w:rPr>
        <w:t>部人事工作。会同有关方面做好县纪委监委派驻机构、乡镇(街道)、县管企业、县属院校和其他县直单位纪检监察机构领导班子建设有关工作;组织和指导全县纪检监察系统干部教育培训工作等。</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十</w:t>
      </w:r>
      <w:r>
        <w:rPr>
          <w:rFonts w:hint="eastAsia" w:ascii="仿宋" w:hAnsi="仿宋" w:eastAsia="仿宋" w:cs="仿宋"/>
          <w:sz w:val="30"/>
          <w:szCs w:val="30"/>
        </w:rPr>
        <w:t>)完成市纪委、市监委、县委交办的其他任务</w:t>
      </w:r>
      <w:r>
        <w:rPr>
          <w:rFonts w:hint="eastAsia" w:ascii="仿宋" w:hAnsi="仿宋" w:eastAsia="仿宋" w:cs="仿宋"/>
          <w:sz w:val="30"/>
          <w:szCs w:val="30"/>
          <w:lang w:eastAsia="zh-CN"/>
        </w:rPr>
        <w:t>。</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w:t>
      </w:r>
      <w:r>
        <w:rPr>
          <w:rFonts w:hint="eastAsia" w:ascii="仿宋_GB2312" w:hAnsi="Calibri" w:eastAsia="仿宋_GB2312" w:cs="ArialUnicodeMS"/>
          <w:kern w:val="0"/>
          <w:sz w:val="32"/>
          <w:szCs w:val="32"/>
          <w:lang w:val="en-US" w:eastAsia="zh-CN"/>
        </w:rPr>
        <w:t xml:space="preserve">1 </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中国共产党涉县纪律检查委员会</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hint="eastAsia" w:ascii="仿宋_GB2312" w:eastAsia="仿宋_GB2312" w:cs="ArialUnicodeMS" w:hAnsiTheme="minorHAnsi"/>
                <w:kern w:val="0"/>
                <w:sz w:val="28"/>
                <w:szCs w:val="28"/>
                <w:highlight w:val="none"/>
                <w:lang w:eastAsia="zh-CN"/>
              </w:rPr>
            </w:pPr>
          </w:p>
          <w:p>
            <w:pPr>
              <w:spacing w:after="0" w:line="560" w:lineRule="exact"/>
              <w:ind w:firstLine="560" w:firstLineChars="200"/>
              <w:jc w:val="left"/>
              <w:rPr>
                <w:rFonts w:hint="eastAsia" w:ascii="仿宋_GB2312" w:eastAsia="仿宋_GB2312" w:cs="ArialUnicodeMS" w:hAnsiTheme="minorHAnsi"/>
                <w:kern w:val="0"/>
                <w:sz w:val="28"/>
                <w:szCs w:val="28"/>
                <w:highlight w:val="none"/>
                <w:lang w:eastAsia="zh-CN"/>
              </w:rPr>
            </w:pPr>
            <w:r>
              <w:rPr>
                <w:rFonts w:hint="eastAsia" w:ascii="仿宋_GB2312" w:eastAsia="仿宋_GB2312" w:cs="ArialUnicodeMS" w:hAnsiTheme="minorHAnsi"/>
                <w:kern w:val="0"/>
                <w:sz w:val="28"/>
                <w:szCs w:val="28"/>
                <w:highlight w:val="none"/>
                <w:lang w:eastAsia="zh-CN"/>
              </w:rPr>
              <w:t>中国共产党涉县纪律检查委员会部门决算包括：本级决算、涉县巡察工作领导小组办公室决算。</w:t>
            </w:r>
          </w:p>
          <w:p>
            <w:pPr>
              <w:spacing w:after="0" w:line="560" w:lineRule="exact"/>
              <w:ind w:firstLine="560" w:firstLineChars="200"/>
              <w:jc w:val="left"/>
              <w:rPr>
                <w:rFonts w:ascii="仿宋_GB2312" w:eastAsia="仿宋_GB2312" w:cs="ArialUnicodeMS" w:hAnsiTheme="minorHAnsi"/>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6"/>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color w:val="0000FF"/>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1657.76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收支各增加275.87万元，增长19.96%。</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是本年度人员增加，致使人员经费和日常公用经费相应增加。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1637.6</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1637.6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仿宋_GB2312" w:hAnsi="Times New Roman" w:eastAsia="仿宋_GB2312" w:cs="DengXian-Regular"/>
          <w:sz w:val="32"/>
          <w:szCs w:val="32"/>
        </w:rPr>
      </w:pPr>
      <w:r>
        <w:drawing>
          <wp:anchor distT="0" distB="0" distL="114300" distR="114300" simplePos="0" relativeHeight="994150400" behindDoc="0" locked="0" layoutInCell="1" allowOverlap="1">
            <wp:simplePos x="0" y="0"/>
            <wp:positionH relativeFrom="column">
              <wp:posOffset>833120</wp:posOffset>
            </wp:positionH>
            <wp:positionV relativeFrom="paragraph">
              <wp:posOffset>128270</wp:posOffset>
            </wp:positionV>
            <wp:extent cx="3753485" cy="2362835"/>
            <wp:effectExtent l="4445" t="5080" r="13970" b="13335"/>
            <wp:wrapNone/>
            <wp:docPr id="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1603.51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1067.55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66.58</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535.96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33.42</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%。如图所示：</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420" w:firstLineChars="200"/>
        <w:jc w:val="both"/>
        <w:textAlignment w:val="auto"/>
        <w:outlineLvl w:val="1"/>
        <w:rPr>
          <w:rFonts w:hint="eastAsia" w:ascii="黑体" w:hAnsi="Calibri" w:eastAsia="黑体" w:cs="Times New Roman"/>
          <w:b/>
          <w:bCs/>
          <w:kern w:val="2"/>
          <w:sz w:val="32"/>
          <w:szCs w:val="32"/>
          <w:lang w:val="en-US" w:eastAsia="zh-CN" w:bidi="ar-SA"/>
        </w:rPr>
      </w:pPr>
      <w:r>
        <w:drawing>
          <wp:anchor distT="0" distB="0" distL="114300" distR="114300" simplePos="0" relativeHeight="994149376" behindDoc="0" locked="0" layoutInCell="1" allowOverlap="1">
            <wp:simplePos x="0" y="0"/>
            <wp:positionH relativeFrom="column">
              <wp:posOffset>737870</wp:posOffset>
            </wp:positionH>
            <wp:positionV relativeFrom="paragraph">
              <wp:posOffset>355600</wp:posOffset>
            </wp:positionV>
            <wp:extent cx="3915410" cy="2381250"/>
            <wp:effectExtent l="4445" t="4445" r="23495" b="14605"/>
            <wp:wrapNone/>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其中本年收入1637.6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306.76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23.05</w:t>
      </w:r>
      <w:r>
        <w:rPr>
          <w:rFonts w:hint="eastAsia" w:ascii="仿宋_GB2312" w:hAnsi="Times New Roman" w:eastAsia="仿宋_GB2312" w:cs="DengXian-Regular"/>
          <w:sz w:val="32"/>
          <w:szCs w:val="32"/>
        </w:rPr>
        <w:t>%，主要是本年度人员增加，致使人员经费和日常公用经费相应增加；</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1603.51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241.78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17.76</w:t>
      </w:r>
      <w:r>
        <w:rPr>
          <w:rFonts w:hint="eastAsia" w:ascii="仿宋_GB2312" w:hAnsi="Times New Roman" w:eastAsia="仿宋_GB2312" w:cs="DengXian-Regular"/>
          <w:sz w:val="32"/>
          <w:szCs w:val="32"/>
        </w:rPr>
        <w:t>%，主要是本年度人员增加，致使人员经费和日常公用经费相应增加。</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仿宋_GB2312" w:hAnsi="Times New Roman" w:eastAsia="仿宋_GB2312" w:cs="DengXian-Regular"/>
          <w:sz w:val="32"/>
          <w:szCs w:val="32"/>
        </w:rPr>
      </w:pPr>
      <w:r>
        <w:drawing>
          <wp:anchor distT="0" distB="0" distL="114300" distR="114300" simplePos="0" relativeHeight="994151424" behindDoc="0" locked="0" layoutInCell="1" allowOverlap="1">
            <wp:simplePos x="0" y="0"/>
            <wp:positionH relativeFrom="column">
              <wp:posOffset>271145</wp:posOffset>
            </wp:positionH>
            <wp:positionV relativeFrom="paragraph">
              <wp:posOffset>-2463165</wp:posOffset>
            </wp:positionV>
            <wp:extent cx="4572000" cy="2743200"/>
            <wp:effectExtent l="4445" t="4445" r="14605" b="14605"/>
            <wp:wrapNone/>
            <wp:docPr id="3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1637.6万元，完成年初预算的103.77%,比年初预算增加59.51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：一、</w:t>
      </w:r>
      <w:r>
        <w:rPr>
          <w:rFonts w:hint="eastAsia" w:ascii="仿宋_GB2312" w:hAnsi="Times New Roman" w:eastAsia="仿宋_GB2312" w:cs="DengXian-Regular"/>
          <w:sz w:val="32"/>
          <w:szCs w:val="32"/>
        </w:rPr>
        <w:t>本年度人员增加</w:t>
      </w:r>
      <w:r>
        <w:rPr>
          <w:rFonts w:hint="eastAsia" w:ascii="仿宋_GB2312" w:hAnsi="Times New Roman" w:eastAsia="仿宋_GB2312" w:cs="DengXian-Regular"/>
          <w:sz w:val="32"/>
          <w:szCs w:val="32"/>
          <w:lang w:eastAsia="zh-CN"/>
        </w:rPr>
        <w:t>，经费相应增加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二、根据纪检监察工作安排，年度任务增加，追加部分经费</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1603.51万元，完成年初预算的101.61%,比年初预算增加25.42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lang w:eastAsia="zh-CN"/>
        </w:rPr>
        <w:t>同上</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b/>
          <w:bCs/>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b/>
          <w:bCs/>
          <w:sz w:val="32"/>
          <w:szCs w:val="32"/>
          <w:highlight w:val="yellow"/>
          <w:lang w:val="en-US" w:eastAsia="zh-CN"/>
        </w:rPr>
      </w:pPr>
      <w:r>
        <w:drawing>
          <wp:anchor distT="0" distB="0" distL="114300" distR="114300" simplePos="0" relativeHeight="994153472" behindDoc="0" locked="0" layoutInCell="1" allowOverlap="1">
            <wp:simplePos x="0" y="0"/>
            <wp:positionH relativeFrom="column">
              <wp:posOffset>490220</wp:posOffset>
            </wp:positionH>
            <wp:positionV relativeFrom="paragraph">
              <wp:posOffset>251460</wp:posOffset>
            </wp:positionV>
            <wp:extent cx="4572000" cy="2743200"/>
            <wp:effectExtent l="4445" t="4445" r="14605" b="14605"/>
            <wp:wrapNone/>
            <wp:docPr id="2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年度财政拨款支出1603.51万元，主要用于以下方面：一般公共服务（类）支出1419.12万元，占88.5%；社会保障和就业（类）支出 132.77万元，占8.3%；卫生健康（类）支出51.62万元，占3.2%。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r>
        <w:drawing>
          <wp:anchor distT="0" distB="0" distL="114300" distR="114300" simplePos="0" relativeHeight="994152448" behindDoc="0" locked="0" layoutInCell="1" allowOverlap="1">
            <wp:simplePos x="0" y="0"/>
            <wp:positionH relativeFrom="column">
              <wp:posOffset>404495</wp:posOffset>
            </wp:positionH>
            <wp:positionV relativeFrom="paragraph">
              <wp:posOffset>57150</wp:posOffset>
            </wp:positionV>
            <wp:extent cx="4572000" cy="2743200"/>
            <wp:effectExtent l="4445" t="4445" r="14605" b="14605"/>
            <wp:wrapNone/>
            <wp:docPr id="3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1067.55万元，其中：人员经费847.33万元，主要包括基本工资、津贴补贴、奖金、伙食补助费、绩效工资、机关事业单位基本养老保险缴费、职工基本医疗保险缴费、公务员医疗补助缴费、住房公积金、医疗费、其他社会保障缴费、其他工资福利支出、离休费、退休费、抚恤金、生活补助、医疗费补助、奖励金、其他对个人和家庭的补助支出；公用经费 220.22万元，主要包括办公费、印刷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其他资本性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47.07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68.9%,</w:t>
      </w:r>
      <w:r>
        <w:rPr>
          <w:rFonts w:hint="eastAsia" w:ascii="仿宋_GB2312" w:hAnsi="Times New Roman" w:eastAsia="仿宋_GB2312" w:cs="DengXian-Regular"/>
          <w:b w:val="0"/>
          <w:bCs w:val="0"/>
          <w:sz w:val="32"/>
          <w:szCs w:val="32"/>
        </w:rPr>
        <w:t>较预算减</w:t>
      </w:r>
      <w:r>
        <w:rPr>
          <w:rFonts w:hint="eastAsia" w:ascii="仿宋_GB2312" w:hAnsi="Times New Roman" w:eastAsia="仿宋_GB2312" w:cs="DengXian-Regular"/>
          <w:b w:val="0"/>
          <w:bCs w:val="0"/>
          <w:kern w:val="2"/>
          <w:sz w:val="32"/>
          <w:szCs w:val="32"/>
          <w:lang w:val="en-US" w:eastAsia="zh-CN" w:bidi="ar-SA"/>
        </w:rPr>
        <w:t>少21.25万元，降低31.1%，主要原因：一是认真贯彻落实中央“八项规定”精神和厉行节约要求，从严控制“三公”经费开支；二是根据县财政统一安排，全年经费整体压缩10%。较2018年度减少20.78万元，降低30.63%</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45.75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1.25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厉行节约要求</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1.25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厉行节约要求</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w:t>
      </w:r>
      <w:r>
        <w:rPr>
          <w:rFonts w:hint="eastAsia" w:ascii="仿宋_GB2312" w:hAnsi="Times New Roman" w:eastAsia="仿宋_GB2312" w:cs="DengXian-Regular"/>
          <w:sz w:val="32"/>
          <w:szCs w:val="32"/>
          <w:lang w:val="en-US" w:eastAsia="zh-CN"/>
        </w:rPr>
        <w:t>未发生“公务用车购置”经费支出；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，主要是均</w:t>
      </w:r>
      <w:r>
        <w:rPr>
          <w:rFonts w:hint="eastAsia" w:ascii="仿宋_GB2312" w:hAnsi="Times New Roman" w:eastAsia="仿宋_GB2312" w:cs="DengXian-Regular"/>
          <w:sz w:val="32"/>
          <w:szCs w:val="32"/>
          <w:lang w:val="en-US" w:eastAsia="zh-CN"/>
        </w:rPr>
        <w:t>未发生“公务用车购置”经费支出</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1.25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厉行节约要求</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1.25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厉行节约要求</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i w:val="0"/>
          <w:iCs w:val="0"/>
          <w:sz w:val="32"/>
          <w:szCs w:val="32"/>
        </w:rPr>
      </w:pPr>
      <w:r>
        <w:rPr>
          <w:rFonts w:hint="eastAsia" w:ascii="楷体_GB2312" w:hAnsi="Times New Roman" w:eastAsia="楷体_GB2312" w:cs="DengXian-Bold"/>
          <w:b/>
          <w:bCs/>
          <w:i w:val="0"/>
          <w:iCs w:val="0"/>
          <w:sz w:val="32"/>
          <w:szCs w:val="32"/>
        </w:rPr>
        <w:t>（三）公务接待费支出</w:t>
      </w:r>
      <w:r>
        <w:rPr>
          <w:rFonts w:hint="eastAsia" w:ascii="楷体_GB2312" w:hAnsi="Times New Roman" w:eastAsia="楷体_GB2312" w:cs="DengXian-Bold"/>
          <w:b/>
          <w:bCs/>
          <w:i w:val="0"/>
          <w:iCs w:val="0"/>
          <w:sz w:val="32"/>
          <w:szCs w:val="32"/>
          <w:lang w:val="en-US" w:eastAsia="zh-CN"/>
        </w:rPr>
        <w:t>1.32</w:t>
      </w:r>
      <w:r>
        <w:rPr>
          <w:rFonts w:hint="eastAsia" w:ascii="楷体_GB2312" w:hAnsi="Times New Roman" w:eastAsia="楷体_GB2312" w:cs="DengXian-Bold"/>
          <w:b/>
          <w:bCs/>
          <w:i w:val="0"/>
          <w:iCs w:val="0"/>
          <w:sz w:val="32"/>
          <w:szCs w:val="32"/>
        </w:rPr>
        <w:t>万元。</w:t>
      </w:r>
      <w:r>
        <w:rPr>
          <w:rFonts w:hint="eastAsia" w:ascii="仿宋_GB2312" w:hAnsi="Times New Roman" w:eastAsia="仿宋_GB2312" w:cs="DengXian-Regular"/>
          <w:i w:val="0"/>
          <w:iCs w:val="0"/>
          <w:sz w:val="32"/>
          <w:szCs w:val="32"/>
        </w:rPr>
        <w:t>本部门</w:t>
      </w:r>
      <w:r>
        <w:rPr>
          <w:rFonts w:hint="eastAsia" w:ascii="仿宋_GB2312" w:hAnsi="Times New Roman" w:eastAsia="仿宋_GB2312" w:cs="DengXian-Regular"/>
          <w:i w:val="0"/>
          <w:iCs w:val="0"/>
          <w:sz w:val="32"/>
          <w:szCs w:val="32"/>
          <w:lang w:eastAsia="zh-CN"/>
        </w:rPr>
        <w:t>2019年</w:t>
      </w:r>
      <w:r>
        <w:rPr>
          <w:rFonts w:hint="eastAsia" w:ascii="仿宋_GB2312" w:hAnsi="Times New Roman" w:eastAsia="仿宋_GB2312" w:cs="DengXian-Regular"/>
          <w:i w:val="0"/>
          <w:iCs w:val="0"/>
          <w:sz w:val="32"/>
          <w:szCs w:val="32"/>
        </w:rPr>
        <w:t>度公务接待共</w:t>
      </w:r>
      <w:r>
        <w:rPr>
          <w:rFonts w:hint="eastAsia" w:ascii="仿宋_GB2312" w:hAnsi="Times New Roman" w:eastAsia="仿宋_GB2312" w:cs="DengXian-Regular"/>
          <w:i w:val="0"/>
          <w:iCs w:val="0"/>
          <w:sz w:val="32"/>
          <w:szCs w:val="32"/>
          <w:lang w:val="en-US" w:eastAsia="zh-CN"/>
        </w:rPr>
        <w:t>,5</w:t>
      </w:r>
      <w:r>
        <w:rPr>
          <w:rFonts w:hint="eastAsia" w:ascii="仿宋_GB2312" w:hAnsi="Times New Roman" w:eastAsia="仿宋_GB2312" w:cs="DengXian-Regular"/>
          <w:i w:val="0"/>
          <w:iCs w:val="0"/>
          <w:sz w:val="32"/>
          <w:szCs w:val="32"/>
        </w:rPr>
        <w:t>批次</w:t>
      </w:r>
      <w:r>
        <w:rPr>
          <w:rFonts w:hint="eastAsia" w:ascii="仿宋_GB2312" w:hAnsi="Times New Roman" w:eastAsia="仿宋_GB2312" w:cs="DengXian-Regular"/>
          <w:i w:val="0"/>
          <w:iCs w:val="0"/>
          <w:sz w:val="32"/>
          <w:szCs w:val="32"/>
          <w:lang w:eastAsia="zh-CN"/>
        </w:rPr>
        <w:t>，</w:t>
      </w:r>
      <w:r>
        <w:rPr>
          <w:rFonts w:hint="eastAsia" w:ascii="仿宋_GB2312" w:hAnsi="Times New Roman" w:eastAsia="仿宋_GB2312" w:cs="DengXian-Regular"/>
          <w:i w:val="0"/>
          <w:iCs w:val="0"/>
          <w:sz w:val="32"/>
          <w:szCs w:val="32"/>
          <w:lang w:val="en-US" w:eastAsia="zh-CN"/>
        </w:rPr>
        <w:t>140</w:t>
      </w:r>
      <w:r>
        <w:rPr>
          <w:rFonts w:hint="eastAsia" w:ascii="仿宋_GB2312" w:hAnsi="Times New Roman" w:eastAsia="仿宋_GB2312" w:cs="DengXian-Regular"/>
          <w:i w:val="0"/>
          <w:iCs w:val="0"/>
          <w:sz w:val="32"/>
          <w:szCs w:val="32"/>
        </w:rPr>
        <w:t>人次。公务接待费支出较预算减少</w:t>
      </w:r>
      <w:r>
        <w:rPr>
          <w:rFonts w:hint="eastAsia" w:ascii="仿宋_GB2312" w:hAnsi="Times New Roman" w:eastAsia="仿宋_GB2312" w:cs="DengXian-Regular"/>
          <w:i w:val="0"/>
          <w:iCs w:val="0"/>
          <w:sz w:val="32"/>
          <w:szCs w:val="32"/>
          <w:lang w:val="en-US" w:eastAsia="zh-CN"/>
        </w:rPr>
        <w:t>20</w:t>
      </w:r>
      <w:r>
        <w:rPr>
          <w:rFonts w:hint="eastAsia" w:ascii="仿宋_GB2312" w:hAnsi="Times New Roman" w:eastAsia="仿宋_GB2312" w:cs="DengXian-Regular"/>
          <w:i w:val="0"/>
          <w:iCs w:val="0"/>
          <w:sz w:val="32"/>
          <w:szCs w:val="32"/>
        </w:rPr>
        <w:t>万元，降低</w:t>
      </w:r>
      <w:r>
        <w:rPr>
          <w:rFonts w:hint="eastAsia" w:ascii="仿宋_GB2312" w:hAnsi="Times New Roman" w:eastAsia="仿宋_GB2312" w:cs="DengXian-Regular"/>
          <w:i w:val="0"/>
          <w:iCs w:val="0"/>
          <w:sz w:val="32"/>
          <w:szCs w:val="32"/>
          <w:lang w:val="en-US" w:eastAsia="zh-CN"/>
        </w:rPr>
        <w:t>93.8</w:t>
      </w:r>
      <w:r>
        <w:rPr>
          <w:rFonts w:hint="eastAsia" w:ascii="仿宋_GB2312" w:hAnsi="Times New Roman" w:eastAsia="仿宋_GB2312" w:cs="DengXian-Regular"/>
          <w:i w:val="0"/>
          <w:iCs w:val="0"/>
          <w:sz w:val="32"/>
          <w:szCs w:val="32"/>
        </w:rPr>
        <w:t>%,主要</w:t>
      </w:r>
      <w:r>
        <w:rPr>
          <w:rFonts w:hint="eastAsia" w:ascii="仿宋_GB2312" w:hAnsi="Times New Roman" w:eastAsia="仿宋_GB2312" w:cs="DengXian-Regular"/>
          <w:i w:val="0"/>
          <w:iCs w:val="0"/>
          <w:sz w:val="32"/>
          <w:szCs w:val="32"/>
          <w:lang w:eastAsia="zh-CN"/>
        </w:rPr>
        <w:t>原因：一</w:t>
      </w:r>
      <w:r>
        <w:rPr>
          <w:rFonts w:hint="eastAsia" w:ascii="仿宋_GB2312" w:hAnsi="Times New Roman" w:eastAsia="仿宋_GB2312" w:cs="DengXian-Regular"/>
          <w:i w:val="0"/>
          <w:iCs w:val="0"/>
          <w:sz w:val="32"/>
          <w:szCs w:val="32"/>
        </w:rPr>
        <w:t>是认真贯彻落实中央“八项规定”精神和厉行节约要求，从严控制公务接待费开支；</w:t>
      </w:r>
      <w:r>
        <w:rPr>
          <w:rFonts w:hint="eastAsia" w:ascii="仿宋_GB2312" w:hAnsi="Times New Roman" w:eastAsia="仿宋_GB2312" w:cs="DengXian-Regular"/>
          <w:i w:val="0"/>
          <w:iCs w:val="0"/>
          <w:sz w:val="32"/>
          <w:szCs w:val="32"/>
          <w:lang w:eastAsia="zh-CN"/>
        </w:rPr>
        <w:t>二是虽有支出，但因经费未到位，未与宾馆结算。</w:t>
      </w:r>
      <w:r>
        <w:rPr>
          <w:rFonts w:hint="eastAsia" w:ascii="仿宋_GB2312" w:hAnsi="Times New Roman" w:eastAsia="仿宋_GB2312" w:cs="DengXian-Regular"/>
          <w:i w:val="0"/>
          <w:iCs w:val="0"/>
          <w:sz w:val="32"/>
          <w:szCs w:val="32"/>
        </w:rPr>
        <w:t>较</w:t>
      </w:r>
      <w:r>
        <w:rPr>
          <w:rFonts w:hint="eastAsia" w:ascii="仿宋_GB2312" w:hAnsi="Times New Roman" w:eastAsia="仿宋_GB2312" w:cs="DengXian-Regular"/>
          <w:i w:val="0"/>
          <w:iCs w:val="0"/>
          <w:sz w:val="32"/>
          <w:szCs w:val="32"/>
          <w:lang w:val="en-US" w:eastAsia="zh-CN"/>
        </w:rPr>
        <w:t>上</w:t>
      </w:r>
      <w:r>
        <w:rPr>
          <w:rFonts w:hint="eastAsia" w:ascii="仿宋_GB2312" w:hAnsi="Times New Roman" w:eastAsia="仿宋_GB2312" w:cs="DengXian-Regular"/>
          <w:i w:val="0"/>
          <w:iCs w:val="0"/>
          <w:sz w:val="32"/>
          <w:szCs w:val="32"/>
          <w:lang w:eastAsia="zh-CN"/>
        </w:rPr>
        <w:t>年</w:t>
      </w:r>
      <w:r>
        <w:rPr>
          <w:rFonts w:hint="eastAsia" w:ascii="仿宋_GB2312" w:hAnsi="Times New Roman" w:eastAsia="仿宋_GB2312" w:cs="DengXian-Regular"/>
          <w:i w:val="0"/>
          <w:iCs w:val="0"/>
          <w:sz w:val="32"/>
          <w:szCs w:val="32"/>
        </w:rPr>
        <w:t>度减少</w:t>
      </w:r>
      <w:r>
        <w:rPr>
          <w:rFonts w:hint="eastAsia" w:ascii="仿宋_GB2312" w:hAnsi="Times New Roman" w:eastAsia="仿宋_GB2312" w:cs="DengXian-Regular"/>
          <w:i w:val="0"/>
          <w:iCs w:val="0"/>
          <w:sz w:val="32"/>
          <w:szCs w:val="32"/>
          <w:lang w:val="en-US" w:eastAsia="zh-CN"/>
        </w:rPr>
        <w:t>19.53</w:t>
      </w:r>
      <w:r>
        <w:rPr>
          <w:rFonts w:hint="eastAsia" w:ascii="仿宋_GB2312" w:hAnsi="Times New Roman" w:eastAsia="仿宋_GB2312" w:cs="DengXian-Regular"/>
          <w:i w:val="0"/>
          <w:iCs w:val="0"/>
          <w:sz w:val="32"/>
          <w:szCs w:val="32"/>
        </w:rPr>
        <w:t>万元，降低</w:t>
      </w:r>
      <w:r>
        <w:rPr>
          <w:rFonts w:hint="eastAsia" w:ascii="仿宋_GB2312" w:hAnsi="Times New Roman" w:eastAsia="仿宋_GB2312" w:cs="DengXian-Regular"/>
          <w:i w:val="0"/>
          <w:iCs w:val="0"/>
          <w:sz w:val="32"/>
          <w:szCs w:val="32"/>
          <w:lang w:val="en-US" w:eastAsia="zh-CN"/>
        </w:rPr>
        <w:t>93.67</w:t>
      </w:r>
      <w:r>
        <w:rPr>
          <w:rFonts w:hint="eastAsia" w:ascii="仿宋_GB2312" w:hAnsi="Times New Roman" w:eastAsia="仿宋_GB2312" w:cs="DengXian-Regular"/>
          <w:i w:val="0"/>
          <w:iCs w:val="0"/>
          <w:sz w:val="32"/>
          <w:szCs w:val="32"/>
        </w:rPr>
        <w:t>%,主要是认真贯彻落实中央“八项规定”精神和厉行节约要求，从严控制公务接待费开支。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widowControl/>
        <w:suppressLineNumbers w:val="0"/>
        <w:jc w:val="left"/>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根据预算绩效管理要求，本部门组织对2019年度一般公共预算项目支出全面开展绩效自评，其中，一级项目8个，共涉及资金581万元，占一般公共预算项目支出总额的100%。</w:t>
      </w:r>
      <w:r>
        <w:rPr>
          <w:rFonts w:ascii="仿宋_GB2312" w:hAnsi="仿宋_GB2312" w:eastAsia="仿宋_GB2312" w:cs="仿宋_GB2312"/>
          <w:color w:val="000000"/>
          <w:kern w:val="0"/>
          <w:sz w:val="31"/>
          <w:szCs w:val="31"/>
          <w:lang w:val="en-US" w:eastAsia="zh-CN" w:bidi="ar"/>
        </w:rPr>
        <w:t>从评价情况看，项目资金使用管理严格规范，项目目标完成情况较好，基本实现年</w:t>
      </w:r>
      <w:r>
        <w:rPr>
          <w:rFonts w:hint="eastAsia" w:ascii="仿宋_GB2312" w:hAnsi="仿宋_GB2312" w:eastAsia="仿宋_GB2312" w:cs="仿宋_GB2312"/>
          <w:color w:val="000000"/>
          <w:kern w:val="0"/>
          <w:sz w:val="31"/>
          <w:szCs w:val="31"/>
          <w:lang w:val="en-US" w:eastAsia="zh-CN" w:bidi="ar"/>
        </w:rPr>
        <w:t>初</w:t>
      </w:r>
      <w:r>
        <w:rPr>
          <w:rFonts w:ascii="仿宋_GB2312" w:hAnsi="仿宋_GB2312" w:eastAsia="仿宋_GB2312" w:cs="仿宋_GB2312"/>
          <w:color w:val="000000"/>
          <w:kern w:val="0"/>
          <w:sz w:val="31"/>
          <w:szCs w:val="31"/>
          <w:lang w:val="en-US" w:eastAsia="zh-CN" w:bidi="ar"/>
        </w:rPr>
        <w:t>计划</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根据年初设定的绩效目标，全年预算数为1578.09万元，执行数为1603.51万元，完成预算的101.61%。主要的产出和效果是</w:t>
      </w:r>
      <w:r>
        <w:rPr>
          <w:rFonts w:hint="default" w:ascii="仿宋_GB2312" w:hAnsi="仿宋_GB2312" w:eastAsia="仿宋_GB2312" w:cs="仿宋_GB2312"/>
          <w:b w:val="0"/>
          <w:bCs w:val="0"/>
          <w:kern w:val="2"/>
          <w:sz w:val="32"/>
          <w:szCs w:val="32"/>
          <w:lang w:val="en-US" w:eastAsia="zh-CN" w:bidi="ar-SA"/>
        </w:rPr>
        <w:t>通过办理和查处党员领导干部及行使国家公权力的公职人员的违法违纪案件，开展廉政建设和反腐败工作，维护宪法和法律的尊严。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通过对预算执行及绩效管理的分析，让我们认识到项目运行中还存在着一些不容忽视的问题。上级财政资金投入较少</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财政管理还不</w:t>
      </w:r>
      <w:r>
        <w:rPr>
          <w:rFonts w:hint="eastAsia" w:ascii="仿宋_GB2312" w:hAnsi="仿宋_GB2312" w:eastAsia="仿宋_GB2312" w:cs="仿宋_GB2312"/>
          <w:b w:val="0"/>
          <w:bCs w:val="0"/>
          <w:kern w:val="2"/>
          <w:sz w:val="32"/>
          <w:szCs w:val="32"/>
          <w:lang w:val="en-US" w:eastAsia="zh-CN" w:bidi="ar-SA"/>
        </w:rPr>
        <w:t>是</w:t>
      </w:r>
      <w:r>
        <w:rPr>
          <w:rFonts w:hint="default" w:ascii="仿宋_GB2312" w:hAnsi="仿宋_GB2312" w:eastAsia="仿宋_GB2312" w:cs="仿宋_GB2312"/>
          <w:b w:val="0"/>
          <w:bCs w:val="0"/>
          <w:kern w:val="2"/>
          <w:sz w:val="32"/>
          <w:szCs w:val="32"/>
          <w:lang w:val="en-US" w:eastAsia="zh-CN" w:bidi="ar-SA"/>
        </w:rPr>
        <w:t>很规范，财经纪律还有待进一步加强等问题。</w:t>
      </w:r>
      <w:r>
        <w:rPr>
          <w:rFonts w:hint="eastAsia" w:ascii="仿宋_GB2312" w:hAnsi="仿宋_GB2312" w:eastAsia="仿宋_GB2312" w:cs="仿宋_GB2312"/>
          <w:b w:val="0"/>
          <w:bCs w:val="0"/>
          <w:kern w:val="2"/>
          <w:sz w:val="32"/>
          <w:szCs w:val="32"/>
          <w:lang w:val="en-US" w:eastAsia="zh-CN" w:bidi="ar-SA"/>
        </w:rPr>
        <w:t>下一步我委将继续深入贯彻落实预算绩效管理精神，加强对预算绩效管理工作的组织领导，牢固树立绩效意识，强化预算绩效理念，把绩效评价结果作为预算编制的重要依据，努力提高预算质量，提升绩效管理工作水平。</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220.22</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50.42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29.7</w:t>
      </w:r>
      <w:r>
        <w:rPr>
          <w:rFonts w:hint="eastAsia" w:ascii="仿宋_GB2312" w:hAnsi="Times New Roman" w:eastAsia="仿宋_GB2312" w:cs="DengXian-Regular"/>
          <w:sz w:val="32"/>
          <w:szCs w:val="32"/>
        </w:rPr>
        <w:t>%。主要原因是本年度人员增加， 纪检监察工作任务量加大，机关运行经费支出相应增加。</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比上年增加0辆，主要是未发生“公务用车购置”。</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9辆，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 ，</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度政府性基金和国有资本经营无收支及结转结余情况，故</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lang w:eastAsia="zh-CN"/>
        </w:rPr>
        <w:t>》、《国有资本经营预算财政拨款支出决算表》</w:t>
      </w:r>
      <w:r>
        <w:rPr>
          <w:rFonts w:hint="eastAsia" w:ascii="仿宋_GB2312" w:hAnsi="Times New Roman" w:eastAsia="仿宋_GB2312" w:cs="DengXian-Regular"/>
          <w:sz w:val="32"/>
          <w:szCs w:val="32"/>
        </w:rPr>
        <w:t>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5" w:type="first"/>
          <w:footerReference r:id="rId17" w:type="first"/>
          <w:headerReference r:id="rId14" w:type="default"/>
          <w:footerReference r:id="rId16"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6"/>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8"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19"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6"/>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5"/>
        <w:tblpPr w:leftFromText="180" w:rightFromText="180" w:vertAnchor="text" w:horzAnchor="page" w:tblpXSpec="center" w:tblpY="31"/>
        <w:tblOverlap w:val="never"/>
        <w:tblW w:w="9747" w:type="dxa"/>
        <w:jc w:val="center"/>
        <w:shd w:val="clear" w:color="auto" w:fill="auto"/>
        <w:tblLayout w:type="fixed"/>
        <w:tblCellMar>
          <w:top w:w="0" w:type="dxa"/>
          <w:left w:w="0" w:type="dxa"/>
          <w:bottom w:w="0" w:type="dxa"/>
          <w:right w:w="0" w:type="dxa"/>
        </w:tblCellMar>
      </w:tblPr>
      <w:tblGrid>
        <w:gridCol w:w="3248"/>
        <w:gridCol w:w="719"/>
        <w:gridCol w:w="1175"/>
        <w:gridCol w:w="2990"/>
        <w:gridCol w:w="541"/>
        <w:gridCol w:w="1074"/>
      </w:tblGrid>
      <w:tr>
        <w:tblPrEx>
          <w:shd w:val="clear" w:color="auto" w:fill="auto"/>
          <w:tblCellMar>
            <w:top w:w="0" w:type="dxa"/>
            <w:left w:w="0" w:type="dxa"/>
            <w:bottom w:w="0" w:type="dxa"/>
            <w:right w:w="0" w:type="dxa"/>
          </w:tblCellMar>
        </w:tblPrEx>
        <w:trPr>
          <w:trHeight w:val="489" w:hRule="atLeast"/>
          <w:jc w:val="center"/>
        </w:trPr>
        <w:tc>
          <w:tcPr>
            <w:tcW w:w="974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4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0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324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0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51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0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1,637.60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1,419.12</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182"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132.77</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51.62</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1,637.60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1,603.51</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0.00</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20.16</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54.26</w:t>
            </w: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1"/>
                <w:szCs w:val="21"/>
                <w:lang w:val="en-US" w:eastAsia="zh-CN" w:bidi="ar-SA"/>
              </w:rPr>
            </w:pPr>
          </w:p>
        </w:tc>
      </w:tr>
      <w:tr>
        <w:tblPrEx>
          <w:tblCellMar>
            <w:top w:w="0" w:type="dxa"/>
            <w:left w:w="0" w:type="dxa"/>
            <w:bottom w:w="0" w:type="dxa"/>
            <w:right w:w="0" w:type="dxa"/>
          </w:tblCellMar>
        </w:tblPrEx>
        <w:trPr>
          <w:trHeight w:val="213" w:hRule="atLeast"/>
          <w:jc w:val="center"/>
        </w:trPr>
        <w:tc>
          <w:tcPr>
            <w:tcW w:w="3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1,657.77</w:t>
            </w:r>
          </w:p>
        </w:tc>
        <w:tc>
          <w:tcPr>
            <w:tcW w:w="2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1,657.77</w:t>
            </w:r>
          </w:p>
        </w:tc>
      </w:tr>
    </w:tbl>
    <w:tbl>
      <w:tblPr>
        <w:tblStyle w:val="5"/>
        <w:tblW w:w="10442" w:type="dxa"/>
        <w:jc w:val="center"/>
        <w:shd w:val="clear" w:color="auto" w:fill="auto"/>
        <w:tblLayout w:type="autofit"/>
        <w:tblCellMar>
          <w:top w:w="0" w:type="dxa"/>
          <w:left w:w="0" w:type="dxa"/>
          <w:bottom w:w="0" w:type="dxa"/>
          <w:right w:w="0" w:type="dxa"/>
        </w:tblCellMar>
      </w:tblPr>
      <w:tblGrid>
        <w:gridCol w:w="718"/>
        <w:gridCol w:w="41"/>
        <w:gridCol w:w="41"/>
        <w:gridCol w:w="4277"/>
        <w:gridCol w:w="1088"/>
        <w:gridCol w:w="1040"/>
        <w:gridCol w:w="516"/>
        <w:gridCol w:w="516"/>
        <w:gridCol w:w="516"/>
        <w:gridCol w:w="516"/>
        <w:gridCol w:w="516"/>
        <w:gridCol w:w="330"/>
        <w:gridCol w:w="330"/>
      </w:tblGrid>
      <w:tr>
        <w:tblPrEx>
          <w:shd w:val="clear" w:color="auto" w:fill="auto"/>
          <w:tblCellMar>
            <w:top w:w="0" w:type="dxa"/>
            <w:left w:w="0" w:type="dxa"/>
            <w:bottom w:w="0" w:type="dxa"/>
            <w:right w:w="0" w:type="dxa"/>
          </w:tblCellMar>
        </w:tblPrEx>
        <w:trPr>
          <w:gridAfter w:val="2"/>
          <w:wAfter w:w="660" w:type="dxa"/>
          <w:trHeight w:val="670" w:hRule="atLeast"/>
          <w:jc w:val="center"/>
        </w:trPr>
        <w:tc>
          <w:tcPr>
            <w:tcW w:w="9782"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gridAfter w:val="2"/>
          <w:wAfter w:w="660" w:type="dxa"/>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gridAfter w:val="2"/>
          <w:wAfter w:w="660" w:type="dxa"/>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2"/>
          <w:wAfter w:w="660" w:type="dxa"/>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gridAfter w:val="2"/>
          <w:wAfter w:w="660" w:type="dxa"/>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gridAfter w:val="2"/>
          <w:wAfter w:w="660" w:type="dxa"/>
          <w:trHeight w:val="37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1,637.60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1,637.60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1,452.92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1,452.92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1,452.92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1,452.92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475.77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475.77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大案要案查处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派驻派出机构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其他纪检监察事务支出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31.59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31.59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132.78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132.78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未归口管理的行政单位离退休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财政对基本医疗保险基金的补助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660" w:type="dxa"/>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color w:val="000000"/>
                <w:sz w:val="22"/>
              </w:rPr>
            </w:pPr>
            <w:r>
              <w:rPr>
                <w:rFonts w:hint="eastAsia" w:ascii="宋体" w:hAnsi="宋体"/>
                <w:color w:val="000000"/>
                <w:sz w:val="22"/>
              </w:rPr>
              <w:t>2101299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财政对其他基本医疗保险基金的补助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p>
        </w:tc>
        <w:tc>
          <w:tcPr>
            <w:tcW w:w="330" w:type="dxa"/>
            <w:tcBorders>
              <w:top w:val="nil"/>
              <w:left w:val="nil"/>
              <w:bottom w:val="nil"/>
              <w:right w:val="nil"/>
            </w:tcBorders>
            <w:shd w:val="clear" w:color="auto" w:fill="auto"/>
            <w:noWrap/>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2"/>
                <w:lang w:val="en-US" w:eastAsia="zh-CN" w:bidi="ar-SA"/>
              </w:rPr>
            </w:pPr>
          </w:p>
        </w:tc>
        <w:tc>
          <w:tcPr>
            <w:tcW w:w="330" w:type="dxa"/>
            <w:tcBorders>
              <w:top w:val="nil"/>
              <w:left w:val="nil"/>
              <w:bottom w:val="nil"/>
              <w:right w:val="nil"/>
            </w:tcBorders>
            <w:shd w:val="clear" w:color="auto" w:fill="auto"/>
            <w:noWrap/>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2"/>
                <w:lang w:val="en-US" w:eastAsia="zh-CN" w:bidi="ar-SA"/>
              </w:rPr>
            </w:pP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5"/>
        <w:tblW w:w="9680" w:type="dxa"/>
        <w:jc w:val="center"/>
        <w:shd w:val="clear" w:color="auto" w:fill="auto"/>
        <w:tblLayout w:type="fixed"/>
        <w:tblCellMar>
          <w:top w:w="0" w:type="dxa"/>
          <w:left w:w="0" w:type="dxa"/>
          <w:bottom w:w="0" w:type="dxa"/>
          <w:right w:w="0" w:type="dxa"/>
        </w:tblCellMar>
      </w:tblPr>
      <w:tblGrid>
        <w:gridCol w:w="941"/>
        <w:gridCol w:w="53"/>
        <w:gridCol w:w="111"/>
        <w:gridCol w:w="2783"/>
        <w:gridCol w:w="1050"/>
        <w:gridCol w:w="1020"/>
        <w:gridCol w:w="855"/>
        <w:gridCol w:w="900"/>
        <w:gridCol w:w="885"/>
        <w:gridCol w:w="1082"/>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0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78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8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8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388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388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1,603.51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1,067.55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535.96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1,419.12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535.96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纪检监察事务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1,419.12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535.96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2011101</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883.16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2011102</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一般行政管理事务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443.71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443.71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2011104</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大案要案查处</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28.28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28.28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2011105</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派驻派出机构</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32.97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32.97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2011199</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其他纪检监察事务支出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31.00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31.00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132.77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132.77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行政事业单位离退休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122.91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122.91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2080504</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未归口管理的行政单位离退休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0.36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0.36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2080505</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122.55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122.55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抚恤</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2080801</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死亡抚恤</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6.66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2082702</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3.20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21012</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财政对基本医疗保险基金的补助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2101299</w:t>
            </w:r>
          </w:p>
        </w:tc>
        <w:tc>
          <w:tcPr>
            <w:tcW w:w="2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财政对其他基本医疗保险基金的补助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51.62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5"/>
        <w:tblW w:w="9520" w:type="dxa"/>
        <w:jc w:val="center"/>
        <w:shd w:val="clear" w:color="auto" w:fill="auto"/>
        <w:tblLayout w:type="fixed"/>
        <w:tblCellMar>
          <w:top w:w="0" w:type="dxa"/>
          <w:left w:w="0" w:type="dxa"/>
          <w:bottom w:w="0" w:type="dxa"/>
          <w:right w:w="0" w:type="dxa"/>
        </w:tblCellMar>
      </w:tblPr>
      <w:tblGrid>
        <w:gridCol w:w="2922"/>
        <w:gridCol w:w="425"/>
        <w:gridCol w:w="662"/>
        <w:gridCol w:w="2946"/>
        <w:gridCol w:w="454"/>
        <w:gridCol w:w="540"/>
        <w:gridCol w:w="750"/>
        <w:gridCol w:w="821"/>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4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1,637.60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1,419.12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1,419.12</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132.77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132.77</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51.62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51.62</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1,637.60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1,603.51</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1,603.51</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20.16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54.26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54.26</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20.16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0.00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1,657.77</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1,657.77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1,657.77</w:t>
            </w:r>
          </w:p>
        </w:tc>
        <w:tc>
          <w:tcPr>
            <w:tcW w:w="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5"/>
        <w:tblW w:w="9990" w:type="dxa"/>
        <w:jc w:val="center"/>
        <w:shd w:val="clear" w:color="auto" w:fill="auto"/>
        <w:tblLayout w:type="autofit"/>
        <w:tblCellMar>
          <w:top w:w="0" w:type="dxa"/>
          <w:left w:w="0" w:type="dxa"/>
          <w:bottom w:w="0" w:type="dxa"/>
          <w:right w:w="0" w:type="dxa"/>
        </w:tblCellMar>
      </w:tblPr>
      <w:tblGrid>
        <w:gridCol w:w="718"/>
        <w:gridCol w:w="41"/>
        <w:gridCol w:w="41"/>
        <w:gridCol w:w="3770"/>
        <w:gridCol w:w="1936"/>
        <w:gridCol w:w="1936"/>
        <w:gridCol w:w="1646"/>
      </w:tblGrid>
      <w:tr>
        <w:tblPrEx>
          <w:shd w:val="clear" w:color="auto" w:fill="auto"/>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1,603.51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1,067.55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535.96</w:t>
            </w:r>
          </w:p>
        </w:tc>
      </w:tr>
      <w:tr>
        <w:tblPrEx>
          <w:tblCellMar>
            <w:top w:w="0" w:type="dxa"/>
            <w:left w:w="0" w:type="dxa"/>
            <w:bottom w:w="0" w:type="dxa"/>
            <w:right w:w="0" w:type="dxa"/>
          </w:tblCellMar>
        </w:tblPrEx>
        <w:trPr>
          <w:trHeight w:val="297"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1,419.12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535.96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1,419.12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535.96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883.16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443.71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443.71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2011104</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大案要案查处</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28.28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28.28</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2011105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派驻派出机构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32.97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32.97</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2011199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其他纪检监察事务支出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132.77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132.77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122.91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122.91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未归口管理的行政单位离退休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122.55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122.55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2080801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死亡抚恤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2082702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财政对基本医疗保险基金的补助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2101299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财政对其他基本医疗保险基金的补助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bl>
    <w:p>
      <w:pPr>
        <w:rPr>
          <w:rFonts w:hint="default"/>
          <w:lang w:val="en-US" w:eastAsia="zh-CN"/>
        </w:rPr>
      </w:pPr>
      <w:r>
        <w:rPr>
          <w:rFonts w:hint="default"/>
          <w:lang w:val="en-US" w:eastAsia="zh-CN"/>
        </w:rPr>
        <w:br w:type="page"/>
      </w:r>
    </w:p>
    <w:tbl>
      <w:tblPr>
        <w:tblStyle w:val="5"/>
        <w:tblW w:w="10000" w:type="dxa"/>
        <w:jc w:val="center"/>
        <w:shd w:val="clear" w:color="auto" w:fill="auto"/>
        <w:tblLayout w:type="fixed"/>
        <w:tblCellMar>
          <w:top w:w="0" w:type="dxa"/>
          <w:left w:w="0" w:type="dxa"/>
          <w:bottom w:w="0" w:type="dxa"/>
          <w:right w:w="0" w:type="dxa"/>
        </w:tblCellMar>
      </w:tblPr>
      <w:tblGrid>
        <w:gridCol w:w="896"/>
        <w:gridCol w:w="1863"/>
        <w:gridCol w:w="852"/>
        <w:gridCol w:w="655"/>
        <w:gridCol w:w="1599"/>
        <w:gridCol w:w="768"/>
        <w:gridCol w:w="744"/>
        <w:gridCol w:w="1891"/>
        <w:gridCol w:w="732"/>
      </w:tblGrid>
      <w:tr>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8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8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840.67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220.22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630.41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4.42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0.43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20.77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26.61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8.04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34.60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6.50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49.62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75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847.33</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220.22</w:t>
            </w:r>
          </w:p>
        </w:tc>
      </w:tr>
    </w:tbl>
    <w:p>
      <w:pPr>
        <w:rPr>
          <w:rFonts w:hint="default"/>
          <w:lang w:val="en-US" w:eastAsia="zh-CN"/>
        </w:rPr>
      </w:pPr>
      <w:r>
        <w:rPr>
          <w:rFonts w:hint="default"/>
          <w:lang w:val="en-US" w:eastAsia="zh-CN"/>
        </w:rPr>
        <w:br w:type="page"/>
      </w:r>
    </w:p>
    <w:tbl>
      <w:tblPr>
        <w:tblStyle w:val="5"/>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21.32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47.07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45.75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45.75</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1.32</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5"/>
        <w:tblW w:w="9510" w:type="dxa"/>
        <w:jc w:val="center"/>
        <w:shd w:val="clear" w:color="auto" w:fill="auto"/>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jc w:val="left"/>
        <w:rPr>
          <w:rFonts w:hint="eastAsia"/>
          <w:lang w:val="en-US" w:eastAsia="zh-CN"/>
        </w:rPr>
      </w:pPr>
    </w:p>
    <w:p>
      <w:pPr>
        <w:jc w:val="left"/>
        <w:rPr>
          <w:rFonts w:hint="default"/>
          <w:lang w:val="en-US" w:eastAsia="zh-CN"/>
        </w:rPr>
      </w:pPr>
      <w:r>
        <w:rPr>
          <w:rFonts w:hint="eastAsia" w:ascii="仿宋" w:hAnsi="仿宋" w:eastAsia="仿宋" w:cs="仿宋"/>
          <w:sz w:val="28"/>
          <w:szCs w:val="32"/>
          <w:lang w:val="en-US" w:eastAsia="zh-CN"/>
        </w:rPr>
        <w:t>本部门本年度无相关收入、支出情况，按要求空表列示。</w:t>
      </w:r>
      <w:r>
        <w:rPr>
          <w:rFonts w:hint="default"/>
          <w:lang w:val="en-US" w:eastAsia="zh-CN"/>
        </w:rPr>
        <w:br w:type="page"/>
      </w:r>
    </w:p>
    <w:p>
      <w:pPr>
        <w:jc w:val="left"/>
        <w:rPr>
          <w:rFonts w:hint="default"/>
          <w:lang w:val="en-US" w:eastAsia="zh-CN"/>
        </w:rPr>
      </w:pPr>
    </w:p>
    <w:tbl>
      <w:tblPr>
        <w:tblStyle w:val="5"/>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sz w:val="22"/>
          <w:szCs w:val="24"/>
          <w:lang w:val="en-US" w:eastAsia="zh-CN"/>
        </w:rPr>
      </w:pPr>
    </w:p>
    <w:p>
      <w:pPr>
        <w:rPr>
          <w:rFonts w:hint="default"/>
          <w:lang w:val="en-US" w:eastAsia="zh-CN"/>
        </w:rPr>
      </w:pPr>
      <w:r>
        <w:rPr>
          <w:rFonts w:hint="eastAsia" w:ascii="仿宋" w:hAnsi="仿宋" w:eastAsia="仿宋" w:cs="仿宋"/>
          <w:sz w:val="28"/>
          <w:szCs w:val="32"/>
          <w:lang w:val="en-US" w:eastAsia="zh-CN"/>
        </w:rPr>
        <w:t>本部门本年度无相关支出，按要求空表列示。</w:t>
      </w:r>
      <w:r>
        <w:rPr>
          <w:rFonts w:hint="default"/>
          <w:lang w:val="en-US" w:eastAsia="zh-CN"/>
        </w:rPr>
        <w:br w:type="page"/>
      </w:r>
      <w:r>
        <w:rPr>
          <w:rFonts w:hint="eastAsia"/>
          <w:lang w:val="en-US" w:eastAsia="zh-CN"/>
        </w:rPr>
        <w:t>办部门</w:t>
      </w:r>
    </w:p>
    <w:p>
      <w:pPr>
        <w:bidi w:val="0"/>
        <w:jc w:val="both"/>
        <w:rPr>
          <w:rFonts w:hint="default"/>
          <w:lang w:val="en-US" w:eastAsia="zh-CN"/>
        </w:rPr>
      </w:pPr>
      <w:r>
        <w:rPr>
          <w:sz w:val="21"/>
        </w:rPr>
        <mc:AlternateContent>
          <mc:Choice Requires="wps">
            <w:drawing>
              <wp:anchor distT="0" distB="0" distL="114300" distR="114300" simplePos="0" relativeHeight="9941483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9941483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p/>
    <w:sectPr>
      <w:headerReference r:id="rId21" w:type="first"/>
      <w:headerReference r:id="rId20" w:type="default"/>
      <w:footerReference r:id="rId22"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B50DF"/>
    <w:rsid w:val="02493D93"/>
    <w:rsid w:val="0418312C"/>
    <w:rsid w:val="05157867"/>
    <w:rsid w:val="07004DAC"/>
    <w:rsid w:val="0A0C0102"/>
    <w:rsid w:val="0C6876E6"/>
    <w:rsid w:val="0C9A7CEF"/>
    <w:rsid w:val="129F27AD"/>
    <w:rsid w:val="150B0050"/>
    <w:rsid w:val="16785CB8"/>
    <w:rsid w:val="193F2E53"/>
    <w:rsid w:val="1FB57B9D"/>
    <w:rsid w:val="25CB4696"/>
    <w:rsid w:val="25D1740C"/>
    <w:rsid w:val="261162FC"/>
    <w:rsid w:val="26AA0DE9"/>
    <w:rsid w:val="288A79DE"/>
    <w:rsid w:val="28D617ED"/>
    <w:rsid w:val="2A902530"/>
    <w:rsid w:val="2FAC56AC"/>
    <w:rsid w:val="33CF3F41"/>
    <w:rsid w:val="3F5E3123"/>
    <w:rsid w:val="40166837"/>
    <w:rsid w:val="46F60350"/>
    <w:rsid w:val="515E10F6"/>
    <w:rsid w:val="56477CD2"/>
    <w:rsid w:val="565A6CBC"/>
    <w:rsid w:val="5BCF0A2E"/>
    <w:rsid w:val="60F9019C"/>
    <w:rsid w:val="6158175B"/>
    <w:rsid w:val="6164423F"/>
    <w:rsid w:val="6EED5FC6"/>
    <w:rsid w:val="6FF142E1"/>
    <w:rsid w:val="71A8090A"/>
    <w:rsid w:val="72AE272A"/>
    <w:rsid w:val="7901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6">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5.xml"/><Relationship Id="rId30" Type="http://schemas.openxmlformats.org/officeDocument/2006/relationships/chart" Target="charts/chart4.xml"/><Relationship Id="rId3" Type="http://schemas.openxmlformats.org/officeDocument/2006/relationships/header" Target="header1.xml"/><Relationship Id="rId29" Type="http://schemas.openxmlformats.org/officeDocument/2006/relationships/chart" Target="charts/chart3.xml"/><Relationship Id="rId28" Type="http://schemas.openxmlformats.org/officeDocument/2006/relationships/chart" Target="charts/chart2.xml"/><Relationship Id="rId27" Type="http://schemas.openxmlformats.org/officeDocument/2006/relationships/chart" Target="charts/chart1.xml"/><Relationship Id="rId26" Type="http://schemas.openxmlformats.org/officeDocument/2006/relationships/image" Target="media/image3.bmp"/><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19&#24180;&#24230;&#37096;&#38376;&#20915;&#31639;&#20844;&#24320;\&#29992;\&#20915;&#31639;&#20844;&#24320;&#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图一：收入构成情况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工作表.xls]Sheet1'!$F$13:$F$16</c:f>
              <c:strCache>
                <c:ptCount val="4"/>
                <c:pt idx="0">
                  <c:v>财政拨款收入</c:v>
                </c:pt>
                <c:pt idx="1">
                  <c:v>事业收入</c:v>
                </c:pt>
                <c:pt idx="2">
                  <c:v>经营收入</c:v>
                </c:pt>
                <c:pt idx="3">
                  <c:v>其他收入</c:v>
                </c:pt>
              </c:strCache>
            </c:strRef>
          </c:cat>
          <c:val>
            <c:numRef>
              <c:f>'[新建 XLS 工作表.xls]Sheet1'!$G$13:$G$16</c:f>
              <c:numCache>
                <c:formatCode>General</c:formatCode>
                <c:ptCount val="4"/>
                <c:pt idx="0">
                  <c:v>1637.6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图二：支出构成情况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工作表.xls]Sheet1'!$D$27:$D$29</c:f>
              <c:strCache>
                <c:ptCount val="3"/>
                <c:pt idx="0">
                  <c:v>基本支出</c:v>
                </c:pt>
                <c:pt idx="1">
                  <c:v>项目支出</c:v>
                </c:pt>
                <c:pt idx="2">
                  <c:v>运营支出</c:v>
                </c:pt>
              </c:strCache>
            </c:strRef>
          </c:cat>
          <c:val>
            <c:numRef>
              <c:f>'[新建 XLS 工作表.xls]Sheet1'!$E$27:$E$29</c:f>
              <c:numCache>
                <c:formatCode>General</c:formatCode>
                <c:ptCount val="3"/>
                <c:pt idx="0">
                  <c:v>1067.55</c:v>
                </c:pt>
                <c:pt idx="1">
                  <c:v>535.96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图三：</a:t>
            </a:r>
            <a:r>
              <a:rPr lang="en-US" altLang="zh-CN"/>
              <a:t>2018-2019</a:t>
            </a:r>
            <a:r>
              <a:rPr altLang="en-US"/>
              <a:t>年财政拨款收支情况</a:t>
            </a:r>
            <a:endParaRPr altLang="en-US"/>
          </a:p>
        </c:rich>
      </c:tx>
      <c:layout/>
      <c:overlay val="0"/>
      <c:spPr>
        <a:noFill/>
        <a:ln>
          <a:noFill/>
        </a:ln>
        <a:effectLst/>
      </c:spPr>
    </c:title>
    <c:autoTitleDeleted val="0"/>
    <c:plotArea>
      <c:layout/>
      <c:barChart>
        <c:barDir val="col"/>
        <c:grouping val="clustered"/>
        <c:varyColors val="0"/>
        <c:ser>
          <c:idx val="0"/>
          <c:order val="0"/>
          <c:tx>
            <c:strRef>
              <c:f>'[新建 XLS 工作表.xls]Sheet1'!$D$27</c:f>
              <c:strCache>
                <c:ptCount val="1"/>
                <c:pt idx="0">
                  <c:v>年度收入</c:v>
                </c:pt>
              </c:strCache>
            </c:strRef>
          </c:tx>
          <c:spPr>
            <a:solidFill>
              <a:schemeClr val="accent1"/>
            </a:solidFill>
            <a:ln>
              <a:noFill/>
            </a:ln>
            <a:effectLst/>
          </c:spPr>
          <c:invertIfNegative val="0"/>
          <c:dLbls>
            <c:delete val="1"/>
          </c:dLbls>
          <c:cat>
            <c:strRef>
              <c:f>'[新建 XLS 工作表.xls]Sheet1'!$E$26:$F$26</c:f>
              <c:strCache>
                <c:ptCount val="2"/>
                <c:pt idx="0">
                  <c:v>2018年</c:v>
                </c:pt>
                <c:pt idx="1">
                  <c:v>2019年</c:v>
                </c:pt>
              </c:strCache>
            </c:strRef>
          </c:cat>
          <c:val>
            <c:numRef>
              <c:f>'[新建 XLS 工作表.xls]Sheet1'!$E$27:$F$27</c:f>
              <c:numCache>
                <c:formatCode>General</c:formatCode>
                <c:ptCount val="2"/>
                <c:pt idx="0">
                  <c:v>1330.84</c:v>
                </c:pt>
                <c:pt idx="1">
                  <c:v>1637.6</c:v>
                </c:pt>
              </c:numCache>
            </c:numRef>
          </c:val>
        </c:ser>
        <c:ser>
          <c:idx val="1"/>
          <c:order val="1"/>
          <c:tx>
            <c:strRef>
              <c:f>'[新建 XLS 工作表.xls]Sheet1'!$D$28</c:f>
              <c:strCache>
                <c:ptCount val="1"/>
                <c:pt idx="0">
                  <c:v>年度支出</c:v>
                </c:pt>
              </c:strCache>
            </c:strRef>
          </c:tx>
          <c:spPr>
            <a:solidFill>
              <a:schemeClr val="accent2"/>
            </a:solidFill>
            <a:ln>
              <a:noFill/>
            </a:ln>
            <a:effectLst/>
          </c:spPr>
          <c:invertIfNegative val="0"/>
          <c:dLbls>
            <c:delete val="1"/>
          </c:dLbls>
          <c:cat>
            <c:strRef>
              <c:f>'[新建 XLS 工作表.xls]Sheet1'!$E$26:$F$26</c:f>
              <c:strCache>
                <c:ptCount val="2"/>
                <c:pt idx="0">
                  <c:v>2018年</c:v>
                </c:pt>
                <c:pt idx="1">
                  <c:v>2019年</c:v>
                </c:pt>
              </c:strCache>
            </c:strRef>
          </c:cat>
          <c:val>
            <c:numRef>
              <c:f>'[新建 XLS 工作表.xls]Sheet1'!$E$28:$F$28</c:f>
              <c:numCache>
                <c:formatCode>General</c:formatCode>
                <c:ptCount val="2"/>
                <c:pt idx="0">
                  <c:v>1361.73</c:v>
                </c:pt>
                <c:pt idx="1">
                  <c:v>1603.51</c:v>
                </c:pt>
              </c:numCache>
            </c:numRef>
          </c:val>
        </c:ser>
        <c:dLbls>
          <c:showLegendKey val="0"/>
          <c:showVal val="0"/>
          <c:showCatName val="0"/>
          <c:showSerName val="0"/>
          <c:showPercent val="0"/>
          <c:showBubbleSize val="0"/>
        </c:dLbls>
        <c:gapWidth val="219"/>
        <c:overlap val="-27"/>
        <c:axId val="151691102"/>
        <c:axId val="668256779"/>
      </c:barChart>
      <c:catAx>
        <c:axId val="1516911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256779"/>
        <c:crosses val="autoZero"/>
        <c:auto val="1"/>
        <c:lblAlgn val="ctr"/>
        <c:lblOffset val="100"/>
        <c:noMultiLvlLbl val="0"/>
      </c:catAx>
      <c:valAx>
        <c:axId val="6682567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6911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图四：财政拨款收支预决算对比情况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[决算公开表.xls]Sheet1!$E$17:$E$21</c:f>
              <c:strCache>
                <c:ptCount val="5"/>
                <c:pt idx="0">
                  <c:v>预算收入</c:v>
                </c:pt>
                <c:pt idx="1">
                  <c:v>决算收入</c:v>
                </c:pt>
                <c:pt idx="3">
                  <c:v>预算支出</c:v>
                </c:pt>
                <c:pt idx="4">
                  <c:v>决算支出</c:v>
                </c:pt>
              </c:strCache>
            </c:strRef>
          </c:cat>
          <c:val>
            <c:numRef>
              <c:f>[决算公开表.xls]Sheet1!$F$17:$F$21</c:f>
              <c:numCache>
                <c:formatCode>General</c:formatCode>
                <c:ptCount val="5"/>
                <c:pt idx="0">
                  <c:v>1578.09</c:v>
                </c:pt>
                <c:pt idx="1">
                  <c:v>1637.6</c:v>
                </c:pt>
                <c:pt idx="3">
                  <c:v>1578.09</c:v>
                </c:pt>
                <c:pt idx="4">
                  <c:v>1603.51</c:v>
                </c:pt>
              </c:numCache>
            </c:numRef>
          </c:val>
        </c:ser>
        <c:dLbls>
          <c:showLegendKey val="0"/>
          <c:showVal val="0"/>
          <c:showCatName val="0"/>
          <c:showSerName val="0"/>
          <c:showPercent val="0"/>
          <c:showBubbleSize val="0"/>
        </c:dLbls>
        <c:gapWidth val="219"/>
        <c:overlap val="-27"/>
        <c:axId val="387381843"/>
        <c:axId val="944980739"/>
      </c:barChart>
      <c:catAx>
        <c:axId val="3873818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4980739"/>
        <c:crosses val="autoZero"/>
        <c:auto val="1"/>
        <c:lblAlgn val="ctr"/>
        <c:lblOffset val="100"/>
        <c:noMultiLvlLbl val="0"/>
      </c:catAx>
      <c:valAx>
        <c:axId val="9449807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3818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图五：财政拨款支出决算结构（按功能分类）</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工作表.xls]Sheet1'!$D$17:$D$19</c:f>
              <c:strCache>
                <c:ptCount val="3"/>
                <c:pt idx="0">
                  <c:v>一般公共服务（类）</c:v>
                </c:pt>
                <c:pt idx="1">
                  <c:v>社会保障和就业（类）</c:v>
                </c:pt>
                <c:pt idx="2">
                  <c:v>卫生健康（类）</c:v>
                </c:pt>
              </c:strCache>
            </c:strRef>
          </c:cat>
          <c:val>
            <c:numRef>
              <c:f>'[新建 XLS 工作表.xls]Sheet1'!$E$17:$E$19</c:f>
              <c:numCache>
                <c:formatCode>General</c:formatCode>
                <c:ptCount val="3"/>
                <c:pt idx="0">
                  <c:v>1419.12</c:v>
                </c:pt>
                <c:pt idx="1">
                  <c:v>132.77</c:v>
                </c:pt>
                <c:pt idx="2">
                  <c:v>51.62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8442</Words>
  <Characters>10623</Characters>
  <Lines>0</Lines>
  <Paragraphs>0</Paragraphs>
  <TotalTime>52</TotalTime>
  <ScaleCrop>false</ScaleCrop>
  <LinksUpToDate>false</LinksUpToDate>
  <CharactersWithSpaces>10913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心素如莲</cp:lastModifiedBy>
  <dcterms:modified xsi:type="dcterms:W3CDTF">2020-10-14T08:03:16Z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